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8B47" w14:textId="6EB73F7C" w:rsidR="00B42ACA" w:rsidRPr="00B42ACA" w:rsidRDefault="00B42ACA" w:rsidP="00B42ACA">
      <w:pPr>
        <w:spacing w:after="0"/>
        <w:jc w:val="center"/>
        <w:rPr>
          <w:b/>
          <w:bCs/>
          <w:sz w:val="28"/>
          <w:szCs w:val="28"/>
        </w:rPr>
      </w:pPr>
      <w:bookmarkStart w:id="0" w:name="_Hlk110870022"/>
      <w:r w:rsidRPr="00B42ACA">
        <w:rPr>
          <w:b/>
          <w:bCs/>
          <w:sz w:val="28"/>
          <w:szCs w:val="28"/>
        </w:rPr>
        <w:t>Inflation Reduction Act of 2022</w:t>
      </w:r>
    </w:p>
    <w:p w14:paraId="070B71A9" w14:textId="0A0D941D" w:rsidR="00B42ACA" w:rsidRPr="00B42ACA" w:rsidRDefault="00B42ACA" w:rsidP="00B42ACA">
      <w:pPr>
        <w:spacing w:after="0"/>
        <w:jc w:val="center"/>
        <w:rPr>
          <w:b/>
          <w:bCs/>
          <w:i/>
          <w:iCs/>
        </w:rPr>
      </w:pPr>
      <w:r w:rsidRPr="00B42ACA">
        <w:rPr>
          <w:b/>
          <w:bCs/>
          <w:i/>
          <w:iCs/>
        </w:rPr>
        <w:t>As passed by the US Senate on 8/7/22</w:t>
      </w:r>
      <w:r>
        <w:rPr>
          <w:b/>
          <w:bCs/>
          <w:i/>
          <w:iCs/>
        </w:rPr>
        <w:t xml:space="preserve"> (expected to be approved by House on 8/12/22)</w:t>
      </w:r>
    </w:p>
    <w:p w14:paraId="364D03EE" w14:textId="108CBBCB" w:rsidR="00B42ACA" w:rsidRPr="00B42ACA" w:rsidRDefault="00B42ACA" w:rsidP="00B42ACA">
      <w:pPr>
        <w:spacing w:after="0"/>
        <w:jc w:val="center"/>
        <w:rPr>
          <w:b/>
          <w:bCs/>
          <w:sz w:val="28"/>
          <w:szCs w:val="28"/>
        </w:rPr>
      </w:pPr>
      <w:r w:rsidRPr="00B42ACA">
        <w:rPr>
          <w:b/>
          <w:bCs/>
          <w:sz w:val="28"/>
          <w:szCs w:val="28"/>
        </w:rPr>
        <w:t>Provisions of interest to PCAs and CHCs</w:t>
      </w:r>
    </w:p>
    <w:p w14:paraId="68131FDE" w14:textId="77777777" w:rsidR="00B42ACA" w:rsidRDefault="00B42ACA" w:rsidP="00E0432D">
      <w:pPr>
        <w:spacing w:after="0"/>
        <w:rPr>
          <w:b/>
          <w:bCs/>
        </w:rPr>
      </w:pPr>
    </w:p>
    <w:p w14:paraId="24D126CD" w14:textId="20092A1C" w:rsidR="00B42ACA" w:rsidRDefault="00BD00C4" w:rsidP="00E0432D">
      <w:pPr>
        <w:spacing w:after="0"/>
        <w:rPr>
          <w:b/>
          <w:bCs/>
        </w:rPr>
      </w:pPr>
      <w:hyperlink r:id="rId8" w:history="1">
        <w:r w:rsidR="00B42ACA" w:rsidRPr="004A7B41">
          <w:rPr>
            <w:rStyle w:val="Hyperlink"/>
            <w:b/>
            <w:bCs/>
          </w:rPr>
          <w:t xml:space="preserve">Lowering </w:t>
        </w:r>
        <w:r w:rsidR="00BC08A8" w:rsidRPr="004A7B41">
          <w:rPr>
            <w:rStyle w:val="Hyperlink"/>
            <w:b/>
            <w:bCs/>
          </w:rPr>
          <w:t>d</w:t>
        </w:r>
        <w:r w:rsidR="00B42ACA" w:rsidRPr="004A7B41">
          <w:rPr>
            <w:rStyle w:val="Hyperlink"/>
            <w:b/>
            <w:bCs/>
          </w:rPr>
          <w:t xml:space="preserve">rug </w:t>
        </w:r>
        <w:r w:rsidR="00BC08A8" w:rsidRPr="004A7B41">
          <w:rPr>
            <w:rStyle w:val="Hyperlink"/>
            <w:b/>
            <w:bCs/>
          </w:rPr>
          <w:t>p</w:t>
        </w:r>
        <w:r w:rsidR="00B42ACA" w:rsidRPr="004A7B41">
          <w:rPr>
            <w:rStyle w:val="Hyperlink"/>
            <w:b/>
            <w:bCs/>
          </w:rPr>
          <w:t xml:space="preserve">rices and </w:t>
        </w:r>
        <w:r w:rsidR="00BC08A8" w:rsidRPr="004A7B41">
          <w:rPr>
            <w:rStyle w:val="Hyperlink"/>
            <w:b/>
            <w:bCs/>
          </w:rPr>
          <w:t xml:space="preserve">patients spending </w:t>
        </w:r>
        <w:r w:rsidR="00B42ACA" w:rsidRPr="004A7B41">
          <w:rPr>
            <w:rStyle w:val="Hyperlink"/>
            <w:b/>
            <w:bCs/>
          </w:rPr>
          <w:t>under Medicare</w:t>
        </w:r>
        <w:r w:rsidR="00BC08A8" w:rsidRPr="004A7B41">
          <w:rPr>
            <w:rStyle w:val="Hyperlink"/>
            <w:b/>
            <w:bCs/>
          </w:rPr>
          <w:t>.</w:t>
        </w:r>
      </w:hyperlink>
    </w:p>
    <w:p w14:paraId="74E3402B" w14:textId="77777777" w:rsidR="00B42ACA" w:rsidRDefault="00E0432D" w:rsidP="00E0432D">
      <w:pPr>
        <w:numPr>
          <w:ilvl w:val="0"/>
          <w:numId w:val="4"/>
        </w:numPr>
        <w:spacing w:after="0"/>
      </w:pPr>
      <w:r>
        <w:t xml:space="preserve">Allows </w:t>
      </w:r>
      <w:r w:rsidR="002163F9" w:rsidRPr="002163F9">
        <w:t xml:space="preserve">Medicare to negotiate lower prices for 10 high-cost drugs beginning in 2026, ramping up to 20 drugs by 2029. </w:t>
      </w:r>
    </w:p>
    <w:p w14:paraId="61AF3584" w14:textId="77777777" w:rsidR="00B42ACA" w:rsidRDefault="002163F9" w:rsidP="00B42ACA">
      <w:pPr>
        <w:numPr>
          <w:ilvl w:val="1"/>
          <w:numId w:val="4"/>
        </w:numPr>
        <w:spacing w:after="0"/>
      </w:pPr>
      <w:r w:rsidRPr="002163F9">
        <w:t xml:space="preserve">There is a steep penalty if a drug company doesn’t come to the table: a tax of up to 95 percent of the sales of the drug. </w:t>
      </w:r>
    </w:p>
    <w:p w14:paraId="1C55C7B5" w14:textId="3DDFB07C" w:rsidR="002163F9" w:rsidRPr="002163F9" w:rsidRDefault="002163F9" w:rsidP="00B42ACA">
      <w:pPr>
        <w:numPr>
          <w:ilvl w:val="1"/>
          <w:numId w:val="4"/>
        </w:numPr>
        <w:spacing w:after="0"/>
      </w:pPr>
      <w:r w:rsidRPr="002163F9">
        <w:t>There is a ceiling that the negotiated price cannot rise above.</w:t>
      </w:r>
    </w:p>
    <w:p w14:paraId="21DB25E0" w14:textId="45D5F011" w:rsidR="002163F9" w:rsidRPr="002163F9" w:rsidRDefault="00B42ACA" w:rsidP="00B42ACA">
      <w:pPr>
        <w:numPr>
          <w:ilvl w:val="1"/>
          <w:numId w:val="4"/>
        </w:numPr>
        <w:spacing w:after="0"/>
      </w:pPr>
      <w:r>
        <w:t xml:space="preserve">Drugs must be at least 9 years old (or 13 for more </w:t>
      </w:r>
      <w:r w:rsidR="002163F9" w:rsidRPr="002163F9">
        <w:t>complex “biologic” drugs</w:t>
      </w:r>
      <w:r>
        <w:t xml:space="preserve">) to be subject to negotiation.  </w:t>
      </w:r>
    </w:p>
    <w:p w14:paraId="2E1BDF83" w14:textId="7CE99B1C" w:rsidR="002163F9" w:rsidRDefault="00F81B1E" w:rsidP="00B42ACA">
      <w:pPr>
        <w:pStyle w:val="ListParagraph"/>
        <w:numPr>
          <w:ilvl w:val="0"/>
          <w:numId w:val="6"/>
        </w:numPr>
        <w:spacing w:after="0"/>
      </w:pPr>
      <w:r>
        <w:t xml:space="preserve">Requires </w:t>
      </w:r>
      <w:r w:rsidR="002163F9" w:rsidRPr="002163F9">
        <w:t xml:space="preserve">drug companies </w:t>
      </w:r>
      <w:r>
        <w:t xml:space="preserve">who </w:t>
      </w:r>
      <w:r w:rsidR="002163F9" w:rsidRPr="002163F9">
        <w:t>raise prices in Medicare faster than the rate of inflation</w:t>
      </w:r>
      <w:r>
        <w:t xml:space="preserve"> to repay the Federal </w:t>
      </w:r>
      <w:r w:rsidR="002163F9" w:rsidRPr="002163F9">
        <w:t xml:space="preserve">government for the </w:t>
      </w:r>
      <w:r w:rsidR="006336BA">
        <w:t xml:space="preserve">additional </w:t>
      </w:r>
      <w:r w:rsidR="00BC08A8">
        <w:t>revenue</w:t>
      </w:r>
      <w:r w:rsidR="006336BA">
        <w:t>.</w:t>
      </w:r>
      <w:r w:rsidR="00F03DDF">
        <w:rPr>
          <w:rStyle w:val="FootnoteReference"/>
        </w:rPr>
        <w:footnoteReference w:id="1"/>
      </w:r>
    </w:p>
    <w:p w14:paraId="5606C2F3" w14:textId="021ACAF2" w:rsidR="00BC08A8" w:rsidRPr="002163F9" w:rsidRDefault="00BC08A8" w:rsidP="00BC08A8">
      <w:pPr>
        <w:pStyle w:val="ListParagraph"/>
        <w:numPr>
          <w:ilvl w:val="1"/>
          <w:numId w:val="6"/>
        </w:numPr>
        <w:spacing w:after="0"/>
      </w:pPr>
      <w:r>
        <w:t xml:space="preserve">This provision is expected to lower 340B discounts and savings somewhat; however, the the actual impact is difficult to predict, and is smaller than it would have been if the provision had been extended to the private insurance.  </w:t>
      </w:r>
    </w:p>
    <w:p w14:paraId="7D6A0B3C" w14:textId="6A45EEFD" w:rsidR="006336BA" w:rsidRDefault="00BC08A8" w:rsidP="006336BA">
      <w:pPr>
        <w:pStyle w:val="ListParagraph"/>
        <w:numPr>
          <w:ilvl w:val="0"/>
          <w:numId w:val="5"/>
        </w:numPr>
        <w:spacing w:after="0"/>
      </w:pPr>
      <w:r>
        <w:t xml:space="preserve">Caps </w:t>
      </w:r>
      <w:r w:rsidR="006336BA">
        <w:t>Medicare patients’ out-of-pocket spending for drugs at</w:t>
      </w:r>
      <w:r>
        <w:t>:</w:t>
      </w:r>
      <w:r w:rsidR="006336BA">
        <w:t xml:space="preserve"> </w:t>
      </w:r>
    </w:p>
    <w:p w14:paraId="0E3566BD" w14:textId="3AB64461" w:rsidR="006336BA" w:rsidRDefault="002163F9" w:rsidP="006336BA">
      <w:pPr>
        <w:pStyle w:val="ListParagraph"/>
        <w:numPr>
          <w:ilvl w:val="1"/>
          <w:numId w:val="5"/>
        </w:numPr>
        <w:spacing w:after="0"/>
      </w:pPr>
      <w:r w:rsidRPr="002163F9">
        <w:t xml:space="preserve">$2,000 a year </w:t>
      </w:r>
      <w:r w:rsidR="006336BA">
        <w:t xml:space="preserve">overall </w:t>
      </w:r>
      <w:r w:rsidRPr="002163F9">
        <w:t>starting in 2025.</w:t>
      </w:r>
    </w:p>
    <w:p w14:paraId="07EE73F2" w14:textId="15541EEF" w:rsidR="006336BA" w:rsidRPr="00F81B1E" w:rsidRDefault="006336BA" w:rsidP="00A96874">
      <w:pPr>
        <w:numPr>
          <w:ilvl w:val="1"/>
          <w:numId w:val="5"/>
        </w:numPr>
        <w:spacing w:after="0"/>
        <w:rPr>
          <w:b/>
          <w:bCs/>
        </w:rPr>
      </w:pPr>
      <w:r>
        <w:t>$</w:t>
      </w:r>
      <w:r w:rsidR="002163F9" w:rsidRPr="002163F9">
        <w:t>35 a month</w:t>
      </w:r>
      <w:r>
        <w:t xml:space="preserve"> for insulin.</w:t>
      </w:r>
      <w:r w:rsidR="00DC52F8">
        <w:rPr>
          <w:rStyle w:val="FootnoteReference"/>
        </w:rPr>
        <w:footnoteReference w:id="2"/>
      </w:r>
    </w:p>
    <w:p w14:paraId="5733656E" w14:textId="602EF24C" w:rsidR="00F81B1E" w:rsidRPr="005351D2" w:rsidRDefault="00F81B1E" w:rsidP="00F81B1E">
      <w:pPr>
        <w:numPr>
          <w:ilvl w:val="0"/>
          <w:numId w:val="5"/>
        </w:numPr>
        <w:spacing w:after="0"/>
        <w:rPr>
          <w:b/>
          <w:bCs/>
        </w:rPr>
      </w:pPr>
      <w:r>
        <w:t>Restricts how quickly Part D premiums can rise.</w:t>
      </w:r>
    </w:p>
    <w:p w14:paraId="326CC93D" w14:textId="282C5E5C" w:rsidR="005351D2" w:rsidRPr="005351D2" w:rsidRDefault="00BC08A8" w:rsidP="005351D2">
      <w:pPr>
        <w:numPr>
          <w:ilvl w:val="0"/>
          <w:numId w:val="5"/>
        </w:numPr>
        <w:spacing w:after="0"/>
      </w:pPr>
      <w:r>
        <w:t xml:space="preserve">For drugs subject to Medicare price negotiation, allows 340B providers to pay the lower of the 340B </w:t>
      </w:r>
      <w:r w:rsidR="005351D2">
        <w:t>ceiling price or the Medicare-negotiated price</w:t>
      </w:r>
      <w:r>
        <w:t>.</w:t>
      </w:r>
      <w:r w:rsidR="005351D2">
        <w:t xml:space="preserve"> </w:t>
      </w:r>
    </w:p>
    <w:p w14:paraId="34A5481B" w14:textId="77777777" w:rsidR="006336BA" w:rsidRPr="006336BA" w:rsidRDefault="006336BA" w:rsidP="006336BA">
      <w:pPr>
        <w:spacing w:after="0"/>
        <w:rPr>
          <w:b/>
          <w:bCs/>
        </w:rPr>
      </w:pPr>
    </w:p>
    <w:p w14:paraId="3EA07AB8" w14:textId="117B7D5E" w:rsidR="002163F9" w:rsidRPr="002163F9" w:rsidRDefault="006336BA" w:rsidP="006336BA">
      <w:pPr>
        <w:spacing w:after="0"/>
        <w:rPr>
          <w:b/>
          <w:bCs/>
        </w:rPr>
      </w:pPr>
      <w:r w:rsidRPr="006336BA">
        <w:rPr>
          <w:b/>
          <w:bCs/>
        </w:rPr>
        <w:t xml:space="preserve">Extending higher ACA premium subsidies through end of 2025.  </w:t>
      </w:r>
    </w:p>
    <w:p w14:paraId="021C32B2" w14:textId="2410B418" w:rsidR="00B42ACA" w:rsidRDefault="00DC52F8" w:rsidP="00DC52F8">
      <w:pPr>
        <w:pStyle w:val="ListParagraph"/>
        <w:numPr>
          <w:ilvl w:val="0"/>
          <w:numId w:val="9"/>
        </w:numPr>
        <w:spacing w:after="0"/>
      </w:pPr>
      <w:r>
        <w:t xml:space="preserve">Extends the higher premiums subsidies that were enacted in the American Rescue Plan through Dec. 31, 2025.  </w:t>
      </w:r>
    </w:p>
    <w:p w14:paraId="0D7567B6" w14:textId="7C5D01A4" w:rsidR="005351D2" w:rsidRDefault="005351D2" w:rsidP="00DC52F8">
      <w:pPr>
        <w:pStyle w:val="ListParagraph"/>
        <w:numPr>
          <w:ilvl w:val="0"/>
          <w:numId w:val="9"/>
        </w:numPr>
        <w:spacing w:after="0"/>
      </w:pPr>
      <w:r>
        <w:t>These subsidies are both higher dollar-</w:t>
      </w:r>
      <w:proofErr w:type="gramStart"/>
      <w:r>
        <w:t>value, and</w:t>
      </w:r>
      <w:proofErr w:type="gramEnd"/>
      <w:r>
        <w:t xml:space="preserve"> are available to higher-income enrollees (</w:t>
      </w:r>
      <w:r w:rsidR="00F81B1E">
        <w:t xml:space="preserve">e.g., for </w:t>
      </w:r>
      <w:r>
        <w:t>individuals with</w:t>
      </w:r>
      <w:r w:rsidRPr="005351D2">
        <w:t xml:space="preserve"> incomes </w:t>
      </w:r>
      <w:r w:rsidR="00F81B1E">
        <w:t xml:space="preserve">up to </w:t>
      </w:r>
      <w:r w:rsidRPr="005351D2">
        <w:t>$52,000</w:t>
      </w:r>
      <w:r w:rsidR="00F81B1E">
        <w:t>) than standard ACA subsidies.</w:t>
      </w:r>
    </w:p>
    <w:p w14:paraId="2FD9CBEB" w14:textId="281D7745" w:rsidR="005351D2" w:rsidRDefault="005351D2" w:rsidP="005351D2">
      <w:pPr>
        <w:pStyle w:val="ListParagraph"/>
        <w:spacing w:after="0"/>
      </w:pPr>
      <w:r>
        <w:t xml:space="preserve"> </w:t>
      </w:r>
    </w:p>
    <w:p w14:paraId="3F6F457A" w14:textId="24E4745A" w:rsidR="00B42ACA" w:rsidRPr="00FE1E7A" w:rsidRDefault="005351D2" w:rsidP="00B42ACA">
      <w:pPr>
        <w:spacing w:after="0"/>
        <w:rPr>
          <w:b/>
          <w:bCs/>
        </w:rPr>
      </w:pPr>
      <w:r>
        <w:rPr>
          <w:b/>
          <w:bCs/>
        </w:rPr>
        <w:t>Assisting communities to address climate change</w:t>
      </w:r>
      <w:r w:rsidR="00B42ACA" w:rsidRPr="00FE1E7A">
        <w:rPr>
          <w:b/>
          <w:bCs/>
        </w:rPr>
        <w:t>. </w:t>
      </w:r>
    </w:p>
    <w:p w14:paraId="2AC933E9" w14:textId="5AE706F4" w:rsidR="00B42ACA" w:rsidRPr="00FE1E7A" w:rsidRDefault="005351D2" w:rsidP="00B42ACA">
      <w:pPr>
        <w:numPr>
          <w:ilvl w:val="0"/>
          <w:numId w:val="3"/>
        </w:numPr>
        <w:spacing w:after="0"/>
      </w:pPr>
      <w:r>
        <w:t xml:space="preserve">Provides </w:t>
      </w:r>
      <w:r w:rsidR="00B42ACA" w:rsidRPr="00FE1E7A">
        <w:t xml:space="preserve">$3 billion </w:t>
      </w:r>
      <w:r w:rsidR="00B42ACA">
        <w:t>for</w:t>
      </w:r>
      <w:r w:rsidR="00B42ACA" w:rsidRPr="00FE1E7A">
        <w:t xml:space="preserve"> environmental justice block grants</w:t>
      </w:r>
      <w:r w:rsidR="00F81B1E">
        <w:t xml:space="preserve">, which are </w:t>
      </w:r>
      <w:r w:rsidR="00B42ACA" w:rsidRPr="00FE1E7A">
        <w:t>community-led programs addressing harms from climate change and pollutants</w:t>
      </w:r>
      <w:r>
        <w:t xml:space="preserve">. </w:t>
      </w:r>
    </w:p>
    <w:p w14:paraId="03D93C47" w14:textId="69454467" w:rsidR="00B42ACA" w:rsidRDefault="005351D2" w:rsidP="00B42ACA">
      <w:pPr>
        <w:numPr>
          <w:ilvl w:val="0"/>
          <w:numId w:val="3"/>
        </w:numPr>
        <w:spacing w:after="0"/>
      </w:pPr>
      <w:r>
        <w:t xml:space="preserve">Provides </w:t>
      </w:r>
      <w:r w:rsidR="00B42ACA" w:rsidRPr="00FE1E7A">
        <w:t xml:space="preserve">$3 billion for air pollution monitoring in low-income communities. </w:t>
      </w:r>
    </w:p>
    <w:p w14:paraId="14DEB916" w14:textId="77777777" w:rsidR="00B42ACA" w:rsidRPr="002163F9" w:rsidRDefault="00B42ACA" w:rsidP="00E0432D">
      <w:pPr>
        <w:spacing w:after="0"/>
      </w:pPr>
    </w:p>
    <w:p w14:paraId="13854645" w14:textId="77777777" w:rsidR="002163F9" w:rsidRPr="00FE1E7A" w:rsidRDefault="002163F9" w:rsidP="00E0432D">
      <w:pPr>
        <w:spacing w:after="0"/>
      </w:pPr>
    </w:p>
    <w:bookmarkEnd w:id="0"/>
    <w:p w14:paraId="288A7BE6" w14:textId="77777777" w:rsidR="007B0FBC" w:rsidRDefault="007B0FBC" w:rsidP="00E0432D">
      <w:pPr>
        <w:spacing w:after="0"/>
      </w:pPr>
    </w:p>
    <w:sectPr w:rsidR="007B0F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C0F1" w14:textId="77777777" w:rsidR="00AE6F62" w:rsidRDefault="00AE6F62" w:rsidP="00F03DDF">
      <w:pPr>
        <w:spacing w:after="0" w:line="240" w:lineRule="auto"/>
      </w:pPr>
      <w:r>
        <w:separator/>
      </w:r>
    </w:p>
  </w:endnote>
  <w:endnote w:type="continuationSeparator" w:id="0">
    <w:p w14:paraId="298B9E24" w14:textId="77777777" w:rsidR="00AE6F62" w:rsidRDefault="00AE6F62" w:rsidP="00F0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555A" w14:textId="77777777" w:rsidR="00AE6F62" w:rsidRDefault="00AE6F62" w:rsidP="00F03DDF">
      <w:pPr>
        <w:spacing w:after="0" w:line="240" w:lineRule="auto"/>
      </w:pPr>
      <w:r>
        <w:separator/>
      </w:r>
    </w:p>
  </w:footnote>
  <w:footnote w:type="continuationSeparator" w:id="0">
    <w:p w14:paraId="52FB63F6" w14:textId="77777777" w:rsidR="00AE6F62" w:rsidRDefault="00AE6F62" w:rsidP="00F03DDF">
      <w:pPr>
        <w:spacing w:after="0" w:line="240" w:lineRule="auto"/>
      </w:pPr>
      <w:r>
        <w:continuationSeparator/>
      </w:r>
    </w:p>
  </w:footnote>
  <w:footnote w:id="1">
    <w:p w14:paraId="144E5D77" w14:textId="054BF7D8" w:rsidR="00F03DDF" w:rsidRDefault="00F03DDF" w:rsidP="00F03DDF">
      <w:pPr>
        <w:pStyle w:val="FootnoteText"/>
        <w:tabs>
          <w:tab w:val="left" w:pos="2520"/>
        </w:tabs>
      </w:pPr>
      <w:r>
        <w:rPr>
          <w:rStyle w:val="FootnoteReference"/>
        </w:rPr>
        <w:footnoteRef/>
      </w:r>
      <w:r>
        <w:t xml:space="preserve"> Senate Democrats </w:t>
      </w:r>
      <w:r w:rsidR="00DC52F8">
        <w:t>tried</w:t>
      </w:r>
      <w:r>
        <w:t xml:space="preserve"> to extend this provision to the private insurance market, but </w:t>
      </w:r>
      <w:r w:rsidR="00DC52F8">
        <w:t xml:space="preserve">it was removed from the package due to Senate rules.  </w:t>
      </w:r>
    </w:p>
  </w:footnote>
  <w:footnote w:id="2">
    <w:p w14:paraId="2EE765AE" w14:textId="409F6482" w:rsidR="00DC52F8" w:rsidRDefault="00DC52F8">
      <w:pPr>
        <w:pStyle w:val="FootnoteText"/>
      </w:pPr>
      <w:r>
        <w:rPr>
          <w:rStyle w:val="FootnoteReference"/>
        </w:rPr>
        <w:footnoteRef/>
      </w:r>
      <w:r>
        <w:t xml:space="preserve"> Senate Democrats tried to extend this provision to the private insurance market, but it was removed from the package due to Senate rules.  They added it in anyway, but it was stripped via a Republican amendment.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E48"/>
    <w:multiLevelType w:val="hybridMultilevel"/>
    <w:tmpl w:val="731A493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A447606"/>
    <w:multiLevelType w:val="hybridMultilevel"/>
    <w:tmpl w:val="E7901D7C"/>
    <w:lvl w:ilvl="0" w:tplc="39C4A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171FE"/>
    <w:multiLevelType w:val="multilevel"/>
    <w:tmpl w:val="FE28F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A7644"/>
    <w:multiLevelType w:val="multilevel"/>
    <w:tmpl w:val="B5680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C61D5"/>
    <w:multiLevelType w:val="hybridMultilevel"/>
    <w:tmpl w:val="FCF28198"/>
    <w:lvl w:ilvl="0" w:tplc="B5BEE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C1529"/>
    <w:multiLevelType w:val="hybridMultilevel"/>
    <w:tmpl w:val="72C6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27ABA"/>
    <w:multiLevelType w:val="multilevel"/>
    <w:tmpl w:val="FE28F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8A7FE7"/>
    <w:multiLevelType w:val="multilevel"/>
    <w:tmpl w:val="253E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2238065">
    <w:abstractNumId w:val="1"/>
  </w:num>
  <w:num w:numId="2" w16cid:durableId="19086423">
    <w:abstractNumId w:val="0"/>
  </w:num>
  <w:num w:numId="3" w16cid:durableId="209612308">
    <w:abstractNumId w:val="7"/>
  </w:num>
  <w:num w:numId="4" w16cid:durableId="452794731">
    <w:abstractNumId w:val="3"/>
  </w:num>
  <w:num w:numId="5" w16cid:durableId="1218249898">
    <w:abstractNumId w:val="2"/>
  </w:num>
  <w:num w:numId="6" w16cid:durableId="1615865799">
    <w:abstractNumId w:val="5"/>
  </w:num>
  <w:num w:numId="7" w16cid:durableId="1937444730">
    <w:abstractNumId w:val="0"/>
  </w:num>
  <w:num w:numId="8" w16cid:durableId="1580095992">
    <w:abstractNumId w:val="4"/>
  </w:num>
  <w:num w:numId="9" w16cid:durableId="14902471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BC"/>
    <w:rsid w:val="000C4B12"/>
    <w:rsid w:val="000D3061"/>
    <w:rsid w:val="001E19EB"/>
    <w:rsid w:val="002163F9"/>
    <w:rsid w:val="0042328D"/>
    <w:rsid w:val="004A7B41"/>
    <w:rsid w:val="005351D2"/>
    <w:rsid w:val="006336BA"/>
    <w:rsid w:val="0069285F"/>
    <w:rsid w:val="007B0FBC"/>
    <w:rsid w:val="00A32BF6"/>
    <w:rsid w:val="00AE6F62"/>
    <w:rsid w:val="00B37BDC"/>
    <w:rsid w:val="00B42ACA"/>
    <w:rsid w:val="00BC08A8"/>
    <w:rsid w:val="00BD00C4"/>
    <w:rsid w:val="00C74A95"/>
    <w:rsid w:val="00D820E0"/>
    <w:rsid w:val="00DC52F8"/>
    <w:rsid w:val="00DF60B9"/>
    <w:rsid w:val="00E03F19"/>
    <w:rsid w:val="00E0432D"/>
    <w:rsid w:val="00E10ADB"/>
    <w:rsid w:val="00F03DDF"/>
    <w:rsid w:val="00F81B1E"/>
    <w:rsid w:val="00FE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2895"/>
  <w15:chartTrackingRefBased/>
  <w15:docId w15:val="{1CCC6B09-1777-4B7E-A10F-CF82B41F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FBC"/>
    <w:rPr>
      <w:color w:val="0563C1" w:themeColor="hyperlink"/>
      <w:u w:val="single"/>
    </w:rPr>
  </w:style>
  <w:style w:type="character" w:styleId="UnresolvedMention">
    <w:name w:val="Unresolved Mention"/>
    <w:basedOn w:val="DefaultParagraphFont"/>
    <w:uiPriority w:val="99"/>
    <w:semiHidden/>
    <w:unhideWhenUsed/>
    <w:rsid w:val="007B0FBC"/>
    <w:rPr>
      <w:color w:val="605E5C"/>
      <w:shd w:val="clear" w:color="auto" w:fill="E1DFDD"/>
    </w:rPr>
  </w:style>
  <w:style w:type="character" w:styleId="FollowedHyperlink">
    <w:name w:val="FollowedHyperlink"/>
    <w:basedOn w:val="DefaultParagraphFont"/>
    <w:uiPriority w:val="99"/>
    <w:semiHidden/>
    <w:unhideWhenUsed/>
    <w:rsid w:val="00A32BF6"/>
    <w:rPr>
      <w:color w:val="954F72" w:themeColor="followedHyperlink"/>
      <w:u w:val="single"/>
    </w:rPr>
  </w:style>
  <w:style w:type="paragraph" w:styleId="ListParagraph">
    <w:name w:val="List Paragraph"/>
    <w:basedOn w:val="Normal"/>
    <w:uiPriority w:val="34"/>
    <w:qFormat/>
    <w:rsid w:val="001E19EB"/>
    <w:pPr>
      <w:ind w:left="720"/>
      <w:contextualSpacing/>
    </w:pPr>
  </w:style>
  <w:style w:type="paragraph" w:styleId="FootnoteText">
    <w:name w:val="footnote text"/>
    <w:basedOn w:val="Normal"/>
    <w:link w:val="FootnoteTextChar"/>
    <w:uiPriority w:val="99"/>
    <w:semiHidden/>
    <w:unhideWhenUsed/>
    <w:rsid w:val="00F03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DDF"/>
    <w:rPr>
      <w:sz w:val="20"/>
      <w:szCs w:val="20"/>
    </w:rPr>
  </w:style>
  <w:style w:type="character" w:styleId="FootnoteReference">
    <w:name w:val="footnote reference"/>
    <w:basedOn w:val="DefaultParagraphFont"/>
    <w:uiPriority w:val="99"/>
    <w:semiHidden/>
    <w:unhideWhenUsed/>
    <w:rsid w:val="00F03D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87912">
      <w:bodyDiv w:val="1"/>
      <w:marLeft w:val="0"/>
      <w:marRight w:val="0"/>
      <w:marTop w:val="0"/>
      <w:marBottom w:val="0"/>
      <w:divBdr>
        <w:top w:val="none" w:sz="0" w:space="0" w:color="auto"/>
        <w:left w:val="none" w:sz="0" w:space="0" w:color="auto"/>
        <w:bottom w:val="none" w:sz="0" w:space="0" w:color="auto"/>
        <w:right w:val="none" w:sz="0" w:space="0" w:color="auto"/>
      </w:divBdr>
    </w:div>
    <w:div w:id="1466704181">
      <w:bodyDiv w:val="1"/>
      <w:marLeft w:val="0"/>
      <w:marRight w:val="0"/>
      <w:marTop w:val="0"/>
      <w:marBottom w:val="0"/>
      <w:divBdr>
        <w:top w:val="none" w:sz="0" w:space="0" w:color="auto"/>
        <w:left w:val="none" w:sz="0" w:space="0" w:color="auto"/>
        <w:bottom w:val="none" w:sz="0" w:space="0" w:color="auto"/>
        <w:right w:val="none" w:sz="0" w:space="0" w:color="auto"/>
      </w:divBdr>
    </w:div>
    <w:div w:id="1733234669">
      <w:bodyDiv w:val="1"/>
      <w:marLeft w:val="0"/>
      <w:marRight w:val="0"/>
      <w:marTop w:val="0"/>
      <w:marBottom w:val="0"/>
      <w:divBdr>
        <w:top w:val="none" w:sz="0" w:space="0" w:color="auto"/>
        <w:left w:val="none" w:sz="0" w:space="0" w:color="auto"/>
        <w:bottom w:val="none" w:sz="0" w:space="0" w:color="auto"/>
        <w:right w:val="none" w:sz="0" w:space="0" w:color="auto"/>
      </w:divBdr>
    </w:div>
    <w:div w:id="20265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ocrats.senate.gov/topline-messages-for-senate-prescription-drug-pricing-reforms_fy22-budget-reconciliation&amp;download=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138CD-FC0D-429B-8036-3E01EDB3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Katriana Meiman (kmeiman)</dc:creator>
  <cp:keywords/>
  <dc:description/>
  <cp:lastModifiedBy>Carmen Anderson</cp:lastModifiedBy>
  <cp:revision>2</cp:revision>
  <dcterms:created xsi:type="dcterms:W3CDTF">2022-08-12T19:05:00Z</dcterms:created>
  <dcterms:modified xsi:type="dcterms:W3CDTF">2022-08-12T19:05:00Z</dcterms:modified>
</cp:coreProperties>
</file>